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AF6EE"/>
  <w:body>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tblGrid>
      <w:tr>
        <w:tc>
          <w:tcPr>
            <w:tcBorders>
              <w:top w:val="none" w:color="FFFFFF" w:sz="0"/>
              <w:left w:val="none" w:color="FFFFFF" w:sz="0"/>
              <w:bottom w:val="none" w:color="FFFFFF" w:sz="0"/>
              <w:right w:val="none" w:color="FFFFFF" w:sz="0"/>
            </w:tcBorders>
            <w:shd w:fill="17140F" w:val="clear"/>
            <w:tcMar>
              <w:top w:type="dxa" w:w="220"/>
              <w:left w:type="dxa" w:w="200"/>
              <w:bottom w:type="dxa" w:w="160"/>
              <w:right w:type="dxa" w:w="200"/>
            </w:tcMar>
          </w:tcPr>
          <w:p>
            <w:pPr>
              <w:jc w:val="center"/>
            </w:pPr>
            <w:r>
              <w:drawing>
                <wp:inline distT="0" distB="0" distL="0" distR="0">
                  <wp:extent cx="2000250" cy="58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00250" cy="581025"/>
                          </a:xfrm>
                          <a:prstGeom prst="rect">
                            <a:avLst/>
                          </a:prstGeom>
                        </pic:spPr>
                      </pic:pic>
                    </a:graphicData>
                  </a:graphic>
                </wp:inline>
              </w:drawing>
            </w:r>
          </w:p>
          <w:p>
            <w:pPr>
              <w:spacing w:before="60"/>
              <w:jc w:val="center"/>
            </w:pPr>
            <w:r>
              <w:rPr>
                <w:rFonts w:ascii="Arial" w:cs="Arial" w:eastAsia="Arial" w:hAnsi="Arial"/>
                <w:b/>
                <w:bCs/>
                <w:color w:val="C9A04C"/>
                <w:sz w:val="13"/>
                <w:szCs w:val="13"/>
              </w:rPr>
              <w:t xml:space="preserve">S A L E S   E N G I N E E R I N G   C O N S U L T I N G</w:t>
            </w:r>
          </w:p>
        </w:tc>
      </w:tr>
    </w:tbl>
    <w:p>
      <w:pPr>
        <w:spacing w:after="40" w:before="240"/>
        <w:jc w:val="center"/>
      </w:pPr>
      <w:r>
        <w:rPr>
          <w:rFonts w:ascii="Arial" w:cs="Arial" w:eastAsia="Arial" w:hAnsi="Arial"/>
          <w:b/>
          <w:bCs/>
          <w:color w:val="A8783A"/>
          <w:spacing w:val="40"/>
          <w:sz w:val="15"/>
          <w:szCs w:val="15"/>
        </w:rPr>
        <w:t xml:space="preserve">S A L E S   Q U A L I F I C A T I O N</w:t>
      </w:r>
    </w:p>
    <w:p>
      <w:pPr>
        <w:spacing w:after="80"/>
        <w:jc w:val="center"/>
      </w:pPr>
      <w:r>
        <w:rPr>
          <w:rFonts w:ascii="Georgia" w:cs="Georgia" w:eastAsia="Georgia" w:hAnsi="Georgia"/>
          <w:b/>
          <w:bCs/>
          <w:color w:val="17140F"/>
          <w:sz w:val="40"/>
          <w:szCs w:val="40"/>
        </w:rPr>
        <w:t xml:space="preserve">MEDDPICC Analysis Worksheet</w:t>
      </w:r>
    </w:p>
    <w:p>
      <w:pPr>
        <w:spacing w:after="200" w:line="264"/>
        <w:jc w:val="center"/>
      </w:pPr>
      <w:r>
        <w:rPr>
          <w:rFonts w:ascii="Georgia" w:cs="Georgia" w:eastAsia="Georgia" w:hAnsi="Georgia"/>
          <w:i/>
          <w:iCs/>
          <w:color w:val="5B564C"/>
          <w:sz w:val="18"/>
          <w:szCs w:val="18"/>
        </w:rPr>
        <w:t xml:space="preserve">Score each letter 1–3. Grade solo first, then reconcile with your AE/SE partner out loud. The gaps between your sheets are where the real conversation is.</w:t>
      </w: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gridCol w:w="100"/>
        <w:gridCol w:w="100"/>
        <w:gridCol w:w="100"/>
      </w:tblGrid>
      <w:tr>
        <w:tc>
          <w:tcPr>
            <w:tcW w:type="pct" w:w="25%"/>
            <w:tcBorders>
              <w:top w:val="none" w:color="FFFFFF" w:sz="0"/>
              <w:left w:val="none" w:color="FFFFFF" w:sz="0"/>
              <w:bottom w:val="none" w:color="FFFFFF" w:sz="0"/>
              <w:right w:val="none" w:color="FFFFFF" w:sz="0"/>
            </w:tcBorders>
            <w:tcMar>
              <w:bottom w:type="dxa" w:w="40"/>
            </w:tcMar>
          </w:tcPr>
          <w:p>
            <w:r>
              <w:rPr>
                <w:rFonts w:ascii="Arial" w:cs="Arial" w:eastAsia="Arial" w:hAnsi="Arial"/>
                <w:b/>
                <w:bCs/>
                <w:color w:val="A8783A"/>
                <w:sz w:val="14"/>
                <w:szCs w:val="14"/>
              </w:rPr>
              <w:t xml:space="preserve">ACCOUNT / DEAL</w:t>
            </w:r>
          </w:p>
        </w:tc>
        <w:tc>
          <w:tcPr>
            <w:tcW w:type="pct" w:w="25%"/>
            <w:tcBorders>
              <w:top w:val="none" w:color="FFFFFF" w:sz="0"/>
              <w:left w:val="none" w:color="FFFFFF" w:sz="0"/>
              <w:bottom w:val="none" w:color="FFFFFF" w:sz="0"/>
              <w:right w:val="none" w:color="FFFFFF" w:sz="0"/>
            </w:tcBorders>
            <w:tcMar>
              <w:bottom w:type="dxa" w:w="40"/>
            </w:tcMar>
          </w:tcPr>
          <w:p>
            <w:r>
              <w:rPr>
                <w:rFonts w:ascii="Arial" w:cs="Arial" w:eastAsia="Arial" w:hAnsi="Arial"/>
                <w:b/>
                <w:bCs/>
                <w:color w:val="A8783A"/>
                <w:sz w:val="14"/>
                <w:szCs w:val="14"/>
              </w:rPr>
              <w:t xml:space="preserve">AE</w:t>
            </w:r>
          </w:p>
        </w:tc>
        <w:tc>
          <w:tcPr>
            <w:tcW w:type="pct" w:w="25%"/>
            <w:tcBorders>
              <w:top w:val="none" w:color="FFFFFF" w:sz="0"/>
              <w:left w:val="none" w:color="FFFFFF" w:sz="0"/>
              <w:bottom w:val="none" w:color="FFFFFF" w:sz="0"/>
              <w:right w:val="none" w:color="FFFFFF" w:sz="0"/>
            </w:tcBorders>
            <w:tcMar>
              <w:bottom w:type="dxa" w:w="40"/>
            </w:tcMar>
          </w:tcPr>
          <w:p>
            <w:r>
              <w:rPr>
                <w:rFonts w:ascii="Arial" w:cs="Arial" w:eastAsia="Arial" w:hAnsi="Arial"/>
                <w:b/>
                <w:bCs/>
                <w:color w:val="A8783A"/>
                <w:sz w:val="14"/>
                <w:szCs w:val="14"/>
              </w:rPr>
              <w:t xml:space="preserve">SE</w:t>
            </w:r>
          </w:p>
        </w:tc>
        <w:tc>
          <w:tcPr>
            <w:tcW w:type="pct" w:w="25%"/>
            <w:tcBorders>
              <w:top w:val="none" w:color="FFFFFF" w:sz="0"/>
              <w:left w:val="none" w:color="FFFFFF" w:sz="0"/>
              <w:bottom w:val="none" w:color="FFFFFF" w:sz="0"/>
              <w:right w:val="none" w:color="FFFFFF" w:sz="0"/>
            </w:tcBorders>
            <w:tcMar>
              <w:bottom w:type="dxa" w:w="40"/>
            </w:tcMar>
          </w:tcPr>
          <w:p>
            <w:r>
              <w:rPr>
                <w:rFonts w:ascii="Arial" w:cs="Arial" w:eastAsia="Arial" w:hAnsi="Arial"/>
                <w:b/>
                <w:bCs/>
                <w:color w:val="A8783A"/>
                <w:sz w:val="14"/>
                <w:szCs w:val="14"/>
              </w:rPr>
              <w:t xml:space="preserve">DATE</w:t>
            </w:r>
          </w:p>
        </w:tc>
      </w:tr>
      <w:tr>
        <w:tc>
          <w:tcPr>
            <w:tcW w:type="pct" w:w="25%"/>
            <w:tcBorders>
              <w:top w:val="single" w:color="C4B896" w:sz="6"/>
              <w:left w:val="single" w:color="C4B896" w:sz="6"/>
              <w:bottom w:val="single" w:color="C4B896" w:sz="6"/>
              <w:right w:val="single" w:color="C4B896" w:sz="6"/>
            </w:tcBorders>
            <w:shd w:fill="FFFFFF" w:val="clear"/>
            <w:tcMar>
              <w:top w:type="dxa" w:w="120"/>
              <w:bottom w:type="dxa" w:w="120"/>
            </w:tcMar>
          </w:tcPr>
          <w:p/>
        </w:tc>
        <w:tc>
          <w:tcPr>
            <w:tcW w:type="pct" w:w="25%"/>
            <w:tcBorders>
              <w:top w:val="single" w:color="C4B896" w:sz="6"/>
              <w:left w:val="single" w:color="C4B896" w:sz="6"/>
              <w:bottom w:val="single" w:color="C4B896" w:sz="6"/>
              <w:right w:val="single" w:color="C4B896" w:sz="6"/>
            </w:tcBorders>
            <w:shd w:fill="FFFFFF" w:val="clear"/>
            <w:tcMar>
              <w:top w:type="dxa" w:w="120"/>
              <w:bottom w:type="dxa" w:w="120"/>
            </w:tcMar>
          </w:tcPr>
          <w:p/>
        </w:tc>
        <w:tc>
          <w:tcPr>
            <w:tcW w:type="pct" w:w="25%"/>
            <w:tcBorders>
              <w:top w:val="single" w:color="C4B896" w:sz="6"/>
              <w:left w:val="single" w:color="C4B896" w:sz="6"/>
              <w:bottom w:val="single" w:color="C4B896" w:sz="6"/>
              <w:right w:val="single" w:color="C4B896" w:sz="6"/>
            </w:tcBorders>
            <w:shd w:fill="FFFFFF" w:val="clear"/>
            <w:tcMar>
              <w:top w:type="dxa" w:w="120"/>
              <w:bottom w:type="dxa" w:w="120"/>
            </w:tcMar>
          </w:tcPr>
          <w:p/>
        </w:tc>
        <w:tc>
          <w:tcPr>
            <w:tcW w:type="pct" w:w="25%"/>
            <w:tcBorders>
              <w:top w:val="single" w:color="C4B896" w:sz="6"/>
              <w:left w:val="single" w:color="C4B896" w:sz="6"/>
              <w:bottom w:val="single" w:color="C4B896" w:sz="6"/>
              <w:right w:val="single" w:color="C4B896" w:sz="6"/>
            </w:tcBorders>
            <w:shd w:fill="FFFFFF" w:val="clear"/>
            <w:tcMar>
              <w:top w:type="dxa" w:w="120"/>
              <w:bottom w:type="dxa" w:w="120"/>
            </w:tcMar>
          </w:tcPr>
          <w:p/>
        </w:tc>
      </w:tr>
    </w:tbl>
    <w:p>
      <w:pPr>
        <w:spacing w:after="120"/>
      </w:pPr>
    </w:p>
    <w:p>
      <w:pPr>
        <w:spacing w:after="160" w:line="276"/>
        <w:jc w:val="left"/>
      </w:pPr>
      <w:r>
        <w:rPr>
          <w:rFonts w:ascii="Arial" w:cs="Arial" w:eastAsia="Arial" w:hAnsi="Arial"/>
          <w:b w:val="false"/>
          <w:bCs w:val="false"/>
          <w:i w:val="false"/>
          <w:iCs w:val="false"/>
          <w:color w:val="231F1A"/>
          <w:sz w:val="17"/>
          <w:szCs w:val="17"/>
        </w:rPr>
        <w:t xml:space="preserve">Scale:   1 = Gap, no real evidence yet    ·    2 = Partial, some evidence, still work to do    ·    3 = Strong, well covered, confirmed</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979"/>
        <w:gridCol w:w="1277"/>
        <w:gridCol w:w="6384"/>
      </w:tblGrid>
      <w:tr>
        <w:tc>
          <w:tcPr>
            <w:tcW w:type="pct" w:w="28%"/>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LETTER</w:t>
            </w:r>
          </w:p>
        </w:tc>
        <w:tc>
          <w:tcPr>
            <w:tcW w:type="pct" w:w="12%"/>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SCORE</w:t>
            </w:r>
          </w:p>
        </w:tc>
        <w:tc>
          <w:tcPr>
            <w:tcW w:type="pct" w:w="60%"/>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EVIDENCE / GAP TO CLOSE</w:t>
            </w: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M — Metrics</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E — Economic Buyer</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D — Decision Criteria</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D — Decision Process</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P — Paper Process</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I — Identify Pain</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C — Champion</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C — Competition</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gridSpan w:val="2"/>
            <w:tcBorders>
              <w:top w:val="single" w:color="C4B896" w:sz="6"/>
              <w:left w:val="single" w:color="C4B896" w:sz="6"/>
              <w:bottom w:val="single" w:color="C4B896" w:sz="6"/>
              <w:right w:val="single" w:color="C4B896" w:sz="6"/>
            </w:tcBorders>
            <w:shd w:fill="F1E8D4" w:val="clear"/>
            <w:tcMar>
              <w:top w:type="dxa" w:w="90"/>
              <w:left w:type="dxa" w:w="100"/>
              <w:bottom w:type="dxa" w:w="90"/>
              <w:right w:type="dxa" w:w="100"/>
            </w:tcMar>
          </w:tcPr>
          <w:p>
            <w:r>
              <w:rPr>
                <w:rFonts w:ascii="Arial" w:cs="Arial" w:eastAsia="Arial" w:hAnsi="Arial"/>
                <w:b/>
                <w:bCs/>
                <w:color w:val="17140F"/>
                <w:sz w:val="18"/>
                <w:szCs w:val="18"/>
              </w:rPr>
              <w:t xml:space="preserve">Overall Read (sum, out of 24)</w:t>
            </w:r>
          </w:p>
        </w:tc>
        <w:tc>
          <w:tcPr>
            <w:tcBorders>
              <w:top w:val="single" w:color="C4B896" w:sz="6"/>
              <w:left w:val="single" w:color="C4B896" w:sz="6"/>
              <w:bottom w:val="single" w:color="C4B896" w:sz="6"/>
              <w:right w:val="single" w:color="C4B896" w:sz="6"/>
            </w:tcBorders>
            <w:shd w:fill="FFFFFF" w:val="clear"/>
          </w:tcPr>
          <w:p/>
        </w:tc>
      </w:tr>
    </w:tbl>
    <w:p>
      <w:pPr>
        <w:spacing w:after="100"/>
      </w:pPr>
    </w:p>
    <w:p>
      <w:pPr>
        <w:spacing w:after="160" w:line="276"/>
        <w:jc w:val="left"/>
      </w:pPr>
      <w:r>
        <w:rPr>
          <w:rFonts w:ascii="Arial" w:cs="Arial" w:eastAsia="Arial" w:hAnsi="Arial"/>
          <w:b w:val="false"/>
          <w:bCs w:val="false"/>
          <w:i w:val="false"/>
          <w:iCs w:val="false"/>
          <w:color w:val="231F1A"/>
          <w:sz w:val="16"/>
          <w:szCs w:val="16"/>
        </w:rPr>
        <w:t xml:space="preserve">Reading the total: 8–13 = early / at real risk  ·  14–19 = developing, name the gaps  ·  20–24 = well-qualified deal.</w:t>
      </w:r>
    </w:p>
    <w:tbl>
      <w:tblPr>
        <w:tblW w:type="pct" w:w="100%"/>
        <w:tblBorders>
          <w:top w:val="none" w:color="FFFFFF" w:sz="0"/>
          <w:left w:val="single" w:color="C9A04C" w:sz="24"/>
          <w:bottom w:val="none" w:color="FFFFFF" w:sz="0"/>
          <w:right w:val="none" w:color="FFFFFF" w:sz="0"/>
          <w:insideH w:val="single" w:color="auto" w:sz="4"/>
          <w:insideV w:val="single" w:color="auto" w:sz="4"/>
        </w:tblBorders>
        <w:tblLayout w:type="fixed"/>
      </w:tblPr>
      <w:tblGrid>
        <w:gridCol w:w="100"/>
      </w:tblGrid>
      <w:tr>
        <w:tc>
          <w:tcPr>
            <w:tcBorders>
              <w:top w:val="none" w:color="FFFFFF" w:sz="0"/>
              <w:left w:val="single" w:color="C9A04C" w:sz="24"/>
              <w:bottom w:val="none" w:color="FFFFFF" w:sz="0"/>
              <w:right w:val="none" w:color="FFFFFF" w:sz="0"/>
            </w:tcBorders>
            <w:shd w:fill="EFE7D9" w:val="clear"/>
            <w:tcMar>
              <w:top w:type="dxa" w:w="140"/>
              <w:left w:type="dxa" w:w="200"/>
              <w:bottom w:type="dxa" w:w="140"/>
              <w:right w:type="dxa" w:w="200"/>
            </w:tcMar>
          </w:tcPr>
          <w:p>
            <w:pPr>
              <w:spacing w:after="80"/>
            </w:pPr>
            <w:r>
              <w:rPr>
                <w:rFonts w:ascii="Georgia" w:cs="Georgia" w:eastAsia="Georgia" w:hAnsi="Georgia"/>
                <w:b/>
                <w:bCs/>
                <w:color w:val="17140F"/>
                <w:sz w:val="21"/>
                <w:szCs w:val="21"/>
              </w:rPr>
              <w:t xml:space="preserve">How to use this worksheet</w:t>
            </w:r>
          </w:p>
          <w:p>
            <w:pPr>
              <w:pStyle w:val="ListParagraph"/>
              <w:numPr>
                <w:ilvl w:val="0"/>
                <w:numId w:val="1"/>
              </w:numPr>
              <w:spacing w:after="60" w:line="264"/>
            </w:pPr>
            <w:r>
              <w:rPr>
                <w:rFonts w:ascii="Arial" w:cs="Arial" w:eastAsia="Arial" w:hAnsi="Arial"/>
                <w:b/>
                <w:bCs/>
                <w:color w:val="231F1A"/>
                <w:sz w:val="18"/>
                <w:szCs w:val="18"/>
              </w:rPr>
              <w:t xml:space="preserve">Grade solo first: </w:t>
            </w:r>
            <w:r>
              <w:rPr>
                <w:rFonts w:ascii="Arial" w:cs="Arial" w:eastAsia="Arial" w:hAnsi="Arial"/>
                <w:color w:val="231F1A"/>
                <w:sz w:val="18"/>
                <w:szCs w:val="18"/>
              </w:rPr>
              <w:t xml:space="preserve">no peeking at your partner's sheet. The disagreement is the data.</w:t>
            </w:r>
          </w:p>
          <w:p>
            <w:pPr>
              <w:pStyle w:val="ListParagraph"/>
              <w:numPr>
                <w:ilvl w:val="0"/>
                <w:numId w:val="1"/>
              </w:numPr>
              <w:spacing w:after="60" w:line="264"/>
            </w:pPr>
            <w:r>
              <w:rPr>
                <w:rFonts w:ascii="Arial" w:cs="Arial" w:eastAsia="Arial" w:hAnsi="Arial"/>
                <w:b/>
                <w:bCs/>
                <w:color w:val="231F1A"/>
                <w:sz w:val="18"/>
                <w:szCs w:val="18"/>
              </w:rPr>
              <w:t xml:space="preserve">Re-score after every material touch </w:t>
            </w:r>
            <w:r>
              <w:rPr>
                <w:rFonts w:ascii="Arial" w:cs="Arial" w:eastAsia="Arial" w:hAnsi="Arial"/>
                <w:color w:val="231F1A"/>
                <w:sz w:val="18"/>
                <w:szCs w:val="18"/>
              </w:rPr>
              <w:t xml:space="preserve">on the deal, not just at kickoff. A stale MEDDPICC is worse than none.</w:t>
            </w:r>
          </w:p>
          <w:p>
            <w:pPr>
              <w:pStyle w:val="ListParagraph"/>
              <w:numPr>
                <w:ilvl w:val="0"/>
                <w:numId w:val="1"/>
              </w:numPr>
              <w:spacing w:after="60" w:line="264"/>
            </w:pPr>
            <w:r>
              <w:rPr>
                <w:rFonts w:ascii="Arial" w:cs="Arial" w:eastAsia="Arial" w:hAnsi="Arial"/>
                <w:b/>
                <w:bCs/>
                <w:color w:val="231F1A"/>
                <w:sz w:val="18"/>
                <w:szCs w:val="18"/>
              </w:rPr>
              <w:t xml:space="preserve">A demo with three blanks in this map is a demo you're giving for free. </w:t>
            </w:r>
            <w:r>
              <w:rPr>
                <w:rFonts w:ascii="Arial" w:cs="Arial" w:eastAsia="Arial" w:hAnsi="Arial"/>
                <w:color w:val="231F1A"/>
                <w:sz w:val="18"/>
                <w:szCs w:val="18"/>
              </w:rPr>
              <w:t xml:space="preserve">Don't book it until the gaps are named, owned, and dated.</w:t>
            </w:r>
          </w:p>
          <w:p>
            <w:pPr>
              <w:pStyle w:val="ListParagraph"/>
              <w:numPr>
                <w:ilvl w:val="0"/>
                <w:numId w:val="1"/>
              </w:numPr>
              <w:spacing w:after="60" w:line="264"/>
            </w:pPr>
            <w:r>
              <w:rPr>
                <w:rFonts w:ascii="Arial" w:cs="Arial" w:eastAsia="Arial" w:hAnsi="Arial"/>
                <w:b/>
                <w:bCs/>
                <w:color w:val="231F1A"/>
                <w:sz w:val="18"/>
                <w:szCs w:val="18"/>
              </w:rPr>
              <w:t xml:space="preserve">Score the anchor, not the mood. </w:t>
            </w:r>
            <w:r>
              <w:rPr>
                <w:rFonts w:ascii="Arial" w:cs="Arial" w:eastAsia="Arial" w:hAnsi="Arial"/>
                <w:color w:val="231F1A"/>
                <w:sz w:val="18"/>
                <w:szCs w:val="18"/>
              </w:rPr>
              <w:t xml:space="preserve">Fear (“legal always finds something”) is no more evidence of a gap than enthusiasm is evidence of coverage.</w:t>
            </w:r>
          </w:p>
        </w:tc>
      </w:tr>
    </w:tbl>
    <w:p>
      <w:pPr>
        <w:spacing w:before="300"/>
        <w:jc w:val="center"/>
      </w:pPr>
      <w:r>
        <w:rPr>
          <w:rFonts w:ascii="Arial" w:cs="Arial" w:eastAsia="Arial" w:hAnsi="Arial"/>
          <w:b/>
          <w:bCs/>
          <w:color w:val="17140F"/>
          <w:sz w:val="16"/>
          <w:szCs w:val="16"/>
        </w:rPr>
        <w:t xml:space="preserve">THE SE FOUNDRY</w:t>
      </w:r>
      <w:r>
        <w:rPr>
          <w:rFonts w:ascii="Georgia" w:cs="Georgia" w:eastAsia="Georgia" w:hAnsi="Georgia"/>
          <w:i/>
          <w:iCs/>
          <w:color w:val="A8783A"/>
          <w:sz w:val="16"/>
          <w:szCs w:val="16"/>
        </w:rPr>
        <w:t xml:space="preserve">  ·  Build the function. Win the deal.  ·  </w:t>
      </w:r>
      <w:r>
        <w:rPr>
          <w:rFonts w:ascii="Arial" w:cs="Arial" w:eastAsia="Arial" w:hAnsi="Arial"/>
          <w:color w:val="5B564C"/>
          <w:sz w:val="15"/>
          <w:szCs w:val="15"/>
        </w:rPr>
        <w:t xml:space="preserve">thesefoundry.com · scott@thesefoundry.com · v2</w:t>
      </w:r>
    </w:p>
    <w:p>
      <w:r>
        <w:br w:type="page"/>
      </w: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gridCol w:w="100"/>
      </w:tblGrid>
      <w:tr>
        <w:tc>
          <w:tcPr>
            <w:tcW w:type="pct" w:w="50%"/>
            <w:tcBorders>
              <w:top w:val="none" w:color="FFFFFF" w:sz="0"/>
              <w:left w:val="none" w:color="FFFFFF" w:sz="0"/>
              <w:bottom w:val="none" w:color="FFFFFF" w:sz="0"/>
              <w:right w:val="none" w:color="FFFFFF" w:sz="0"/>
            </w:tcBorders>
            <w:shd w:fill="17140F" w:val="clear"/>
            <w:tcMar>
              <w:top w:type="dxa" w:w="100"/>
              <w:left w:type="dxa" w:w="200"/>
              <w:bottom w:type="dxa" w:w="100"/>
              <w:right w:type="dxa" w:w="100"/>
            </w:tcMar>
          </w:tcPr>
          <w:p>
            <w:r>
              <w:rPr>
                <w:rFonts w:ascii="Arial" w:cs="Arial" w:eastAsia="Arial" w:hAnsi="Arial"/>
                <w:b/>
                <w:bCs/>
                <w:color w:val="FAF6EE"/>
                <w:sz w:val="16"/>
                <w:szCs w:val="16"/>
              </w:rPr>
              <w:t xml:space="preserve">THE SE FOUNDRY</w:t>
            </w:r>
          </w:p>
        </w:tc>
        <w:tc>
          <w:tcPr>
            <w:tcW w:type="pct" w:w="50%"/>
            <w:tcBorders>
              <w:top w:val="none" w:color="FFFFFF" w:sz="0"/>
              <w:left w:val="none" w:color="FFFFFF" w:sz="0"/>
              <w:bottom w:val="none" w:color="FFFFFF" w:sz="0"/>
              <w:right w:val="none" w:color="FFFFFF" w:sz="0"/>
            </w:tcBorders>
            <w:shd w:fill="17140F" w:val="clear"/>
            <w:tcMar>
              <w:top w:type="dxa" w:w="100"/>
              <w:left w:type="dxa" w:w="100"/>
              <w:bottom w:type="dxa" w:w="100"/>
              <w:right w:type="dxa" w:w="200"/>
            </w:tcMar>
          </w:tcPr>
          <w:p>
            <w:pPr>
              <w:jc w:val="right"/>
            </w:pPr>
            <w:r>
              <w:rPr>
                <w:rFonts w:ascii="Arial" w:cs="Arial" w:eastAsia="Arial" w:hAnsi="Arial"/>
                <w:color w:val="B8AE9C"/>
                <w:sz w:val="16"/>
                <w:szCs w:val="16"/>
              </w:rPr>
              <w:t xml:space="preserve">MEDDPICC for SEs  ·  Field Guide</w:t>
            </w:r>
          </w:p>
        </w:tc>
      </w:tr>
    </w:tbl>
    <w:p>
      <w:pPr>
        <w:spacing w:after="40" w:before="240"/>
        <w:jc w:val="left"/>
      </w:pPr>
      <w:r>
        <w:rPr>
          <w:rFonts w:ascii="Arial" w:cs="Arial" w:eastAsia="Arial" w:hAnsi="Arial"/>
          <w:b/>
          <w:bCs/>
          <w:color w:val="A8783A"/>
          <w:spacing w:val="40"/>
          <w:sz w:val="15"/>
          <w:szCs w:val="15"/>
        </w:rPr>
        <w:t xml:space="preserve">F I E L D   G U I D E</w:t>
      </w:r>
    </w:p>
    <w:p>
      <w:pPr>
        <w:spacing w:after="80"/>
      </w:pPr>
      <w:r>
        <w:rPr>
          <w:rFonts w:ascii="Georgia" w:cs="Georgia" w:eastAsia="Georgia" w:hAnsi="Georgia"/>
          <w:b/>
          <w:bCs/>
          <w:color w:val="17140F"/>
          <w:sz w:val="34"/>
          <w:szCs w:val="34"/>
        </w:rPr>
        <w:t xml:space="preserve">MEDDPICC for SEs</w:t>
      </w:r>
    </w:p>
    <w:p>
      <w:pPr>
        <w:spacing w:after="180" w:line="276"/>
      </w:pPr>
      <w:r>
        <w:rPr>
          <w:rFonts w:ascii="Georgia" w:cs="Georgia" w:eastAsia="Georgia" w:hAnsi="Georgia"/>
          <w:i/>
          <w:iCs/>
          <w:color w:val="5B564C"/>
          <w:sz w:val="18"/>
          <w:szCs w:val="18"/>
        </w:rPr>
        <w:t xml:space="preserve">MEDDPICC isn't a form your AE files in Salesforce. It's a shared map of the deal, and you own more of it than you think. This is the per-letter playbook: what the SE does on each, what you own outright, and what you influence.</w:t>
      </w:r>
    </w:p>
    <w:p>
      <w:pPr>
        <w:spacing w:after="100" w:before="200"/>
        <w:jc w:val="left"/>
      </w:pPr>
      <w:r>
        <w:rPr>
          <w:rFonts w:ascii="Georgia" w:cs="Georgia" w:eastAsia="Georgia" w:hAnsi="Georgia"/>
          <w:b/>
          <w:bCs/>
          <w:color w:val="A8783A"/>
          <w:sz w:val="24"/>
          <w:szCs w:val="24"/>
        </w:rPr>
        <w:t xml:space="preserve">The Eight Letters, From the SE's Seat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554"/>
        <w:gridCol w:w="6172"/>
        <w:gridCol w:w="1914"/>
      </w:tblGrid>
      <w:tr>
        <w:tc>
          <w:tcPr>
            <w:tcW w:type="pct" w:w="24%"/>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LETTER</w:t>
            </w:r>
          </w:p>
        </w:tc>
        <w:tc>
          <w:tcPr>
            <w:tcW w:type="pct" w:w="58%"/>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THE SE'S JOB</w:t>
            </w:r>
          </w:p>
        </w:tc>
        <w:tc>
          <w:tcPr>
            <w:tcW w:type="pct" w:w="18%"/>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OWN / INFLUENCE</w:t>
            </w:r>
          </w:p>
        </w:tc>
      </w:tr>
      <w:tr>
        <w:tc>
          <w:tcPr>
            <w:tcW w:type="pct" w:w="24%"/>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b/>
                <w:bCs/>
                <w:color w:val="17140F"/>
                <w:sz w:val="17"/>
                <w:szCs w:val="17"/>
              </w:rPr>
              <w:t xml:space="preserve">M — Metrics</w:t>
            </w:r>
          </w:p>
        </w:tc>
        <w:tc>
          <w:tcPr>
            <w:tcW w:type="pct" w:w="5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Model the after-state. Own the technical business case: connect capability to a number they care about.</w:t>
            </w:r>
          </w:p>
        </w:tc>
        <w:tc>
          <w:tcPr>
            <w:tcW w:type="pct" w:w="1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Own</w:t>
            </w:r>
          </w:p>
        </w:tc>
      </w:tr>
      <w:tr>
        <w:tc>
          <w:tcPr>
            <w:tcW w:type="pct" w:w="24%"/>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b/>
                <w:bCs/>
                <w:color w:val="17140F"/>
                <w:sz w:val="17"/>
                <w:szCs w:val="17"/>
              </w:rPr>
              <w:t xml:space="preserve">E — Economic Buyer</w:t>
            </w:r>
          </w:p>
        </w:tc>
        <w:tc>
          <w:tcPr>
            <w:tcW w:type="pct" w:w="5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Help your AE earn the room. When you're in it, lead with the metric, not the feature.</w:t>
            </w:r>
          </w:p>
        </w:tc>
        <w:tc>
          <w:tcPr>
            <w:tcW w:type="pct" w:w="1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Influence</w:t>
            </w:r>
          </w:p>
        </w:tc>
      </w:tr>
      <w:tr>
        <w:tc>
          <w:tcPr>
            <w:tcW w:type="pct" w:w="24%"/>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b/>
                <w:bCs/>
                <w:color w:val="17140F"/>
                <w:sz w:val="17"/>
                <w:szCs w:val="17"/>
              </w:rPr>
              <w:t xml:space="preserve">D — Decision Criteria</w:t>
            </w:r>
          </w:p>
        </w:tc>
        <w:tc>
          <w:tcPr>
            <w:tcW w:type="pct" w:w="5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Shape it, don't just respond to it. “What would disqualify a vendor?” before the criteria lock.</w:t>
            </w:r>
          </w:p>
        </w:tc>
        <w:tc>
          <w:tcPr>
            <w:tcW w:type="pct" w:w="1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Own</w:t>
            </w:r>
          </w:p>
        </w:tc>
      </w:tr>
      <w:tr>
        <w:tc>
          <w:tcPr>
            <w:tcW w:type="pct" w:w="24%"/>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b/>
                <w:bCs/>
                <w:color w:val="17140F"/>
                <w:sz w:val="17"/>
                <w:szCs w:val="17"/>
              </w:rPr>
              <w:t xml:space="preserve">D — Decision Process</w:t>
            </w:r>
          </w:p>
        </w:tc>
        <w:tc>
          <w:tcPr>
            <w:tcW w:type="pct" w:w="5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Map the technical buyer journey: POC owner, security, architecture sign-off.</w:t>
            </w:r>
          </w:p>
        </w:tc>
        <w:tc>
          <w:tcPr>
            <w:tcW w:type="pct" w:w="1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Own</w:t>
            </w:r>
          </w:p>
        </w:tc>
      </w:tr>
      <w:tr>
        <w:tc>
          <w:tcPr>
            <w:tcW w:type="pct" w:w="24%"/>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b/>
                <w:bCs/>
                <w:color w:val="17140F"/>
                <w:sz w:val="17"/>
                <w:szCs w:val="17"/>
              </w:rPr>
              <w:t xml:space="preserve">P — Paper Process</w:t>
            </w:r>
          </w:p>
        </w:tc>
        <w:tc>
          <w:tcPr>
            <w:tcW w:type="pct" w:w="5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Start the security and infosec conversation while things are good, not at the finish line.</w:t>
            </w:r>
          </w:p>
        </w:tc>
        <w:tc>
          <w:tcPr>
            <w:tcW w:type="pct" w:w="1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Influence</w:t>
            </w:r>
          </w:p>
        </w:tc>
      </w:tr>
      <w:tr>
        <w:tc>
          <w:tcPr>
            <w:tcW w:type="pct" w:w="24%"/>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b/>
                <w:bCs/>
                <w:color w:val="17140F"/>
                <w:sz w:val="17"/>
                <w:szCs w:val="17"/>
              </w:rPr>
              <w:t xml:space="preserve">I — Identify Pain</w:t>
            </w:r>
          </w:p>
        </w:tc>
        <w:tc>
          <w:tcPr>
            <w:tcW w:type="pct" w:w="5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Your technical credibility surfaces pain no exec discovery call will. Dig for it, then confirm it twice: one voice caps this letter at 2, however strong the quote.</w:t>
            </w:r>
          </w:p>
        </w:tc>
        <w:tc>
          <w:tcPr>
            <w:tcW w:type="pct" w:w="1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Own</w:t>
            </w:r>
          </w:p>
        </w:tc>
      </w:tr>
      <w:tr>
        <w:tc>
          <w:tcPr>
            <w:tcW w:type="pct" w:w="24%"/>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b/>
                <w:bCs/>
                <w:color w:val="17140F"/>
                <w:sz w:val="17"/>
                <w:szCs w:val="17"/>
              </w:rPr>
              <w:t xml:space="preserve">C — Champion</w:t>
            </w:r>
          </w:p>
        </w:tc>
        <w:tc>
          <w:tcPr>
            <w:tcW w:type="pct" w:w="5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Arm them to win the room without you. Influence plus personal stake, not just enthusiasm.</w:t>
            </w:r>
          </w:p>
        </w:tc>
        <w:tc>
          <w:tcPr>
            <w:tcW w:type="pct" w:w="18%"/>
            <w:tcBorders>
              <w:top w:val="single" w:color="C4B896" w:sz="6"/>
              <w:left w:val="single" w:color="C4B896" w:sz="6"/>
              <w:bottom w:val="single" w:color="C4B896" w:sz="6"/>
              <w:right w:val="single" w:color="C4B896" w:sz="6"/>
            </w:tcBorders>
            <w:shd w:fill="FFFFFF" w:val="clear"/>
            <w:tcMar>
              <w:top w:type="dxa" w:w="80"/>
              <w:left w:type="dxa" w:w="100"/>
              <w:bottom w:type="dxa" w:w="80"/>
              <w:right w:type="dxa" w:w="100"/>
            </w:tcMar>
          </w:tcPr>
          <w:p>
            <w:r>
              <w:rPr>
                <w:rFonts w:ascii="Arial" w:cs="Arial" w:eastAsia="Arial" w:hAnsi="Arial"/>
                <w:color w:val="231F1A"/>
                <w:sz w:val="16"/>
                <w:szCs w:val="16"/>
              </w:rPr>
              <w:t xml:space="preserve">Own</w:t>
            </w:r>
          </w:p>
        </w:tc>
      </w:tr>
      <w:tr>
        <w:tc>
          <w:tcPr>
            <w:tcW w:type="pct" w:w="24%"/>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b/>
                <w:bCs/>
                <w:color w:val="17140F"/>
                <w:sz w:val="17"/>
                <w:szCs w:val="17"/>
              </w:rPr>
              <w:t xml:space="preserve">C — Competition</w:t>
            </w:r>
          </w:p>
        </w:tc>
        <w:tc>
          <w:tcPr>
            <w:tcW w:type="pct" w:w="5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Know how rivals show up and where their story breaks. Feed intel back to the team.</w:t>
            </w:r>
          </w:p>
        </w:tc>
        <w:tc>
          <w:tcPr>
            <w:tcW w:type="pct" w:w="18%"/>
            <w:tcBorders>
              <w:top w:val="single" w:color="C4B896" w:sz="6"/>
              <w:left w:val="single" w:color="C4B896" w:sz="6"/>
              <w:bottom w:val="single" w:color="C4B896" w:sz="6"/>
              <w:right w:val="single" w:color="C4B896" w:sz="6"/>
            </w:tcBorders>
            <w:shd w:fill="F6F0E3" w:val="clear"/>
            <w:tcMar>
              <w:top w:type="dxa" w:w="80"/>
              <w:left w:type="dxa" w:w="100"/>
              <w:bottom w:type="dxa" w:w="80"/>
              <w:right w:type="dxa" w:w="100"/>
            </w:tcMar>
          </w:tcPr>
          <w:p>
            <w:r>
              <w:rPr>
                <w:rFonts w:ascii="Arial" w:cs="Arial" w:eastAsia="Arial" w:hAnsi="Arial"/>
                <w:color w:val="231F1A"/>
                <w:sz w:val="16"/>
                <w:szCs w:val="16"/>
              </w:rPr>
              <w:t xml:space="preserve">Influence</w:t>
            </w:r>
          </w:p>
        </w:tc>
      </w:tr>
    </w:tbl>
    <w:p>
      <w:pPr>
        <w:spacing w:after="100" w:before="280"/>
        <w:jc w:val="left"/>
      </w:pPr>
      <w:r>
        <w:rPr>
          <w:rFonts w:ascii="Georgia" w:cs="Georgia" w:eastAsia="Georgia" w:hAnsi="Georgia"/>
          <w:b/>
          <w:bCs/>
          <w:color w:val="A8783A"/>
          <w:sz w:val="24"/>
          <w:szCs w:val="24"/>
        </w:rPr>
        <w:t xml:space="preserve">Turn the Map Into Action</w:t>
      </w:r>
    </w:p>
    <w:p>
      <w:pPr>
        <w:pStyle w:val="ListParagraph"/>
        <w:numPr>
          <w:ilvl w:val="0"/>
          <w:numId w:val="1"/>
        </w:numPr>
        <w:spacing w:after="80" w:line="264"/>
      </w:pPr>
      <w:r>
        <w:rPr>
          <w:rFonts w:ascii="Arial" w:cs="Arial" w:eastAsia="Arial" w:hAnsi="Arial"/>
          <w:b/>
          <w:bCs/>
          <w:color w:val="231F1A"/>
          <w:sz w:val="18"/>
          <w:szCs w:val="18"/>
        </w:rPr>
        <w:t xml:space="preserve">For each letter, ask: </w:t>
      </w:r>
      <w:r>
        <w:rPr>
          <w:rFonts w:ascii="Arial" w:cs="Arial" w:eastAsia="Arial" w:hAnsi="Arial"/>
          <w:color w:val="231F1A"/>
          <w:sz w:val="18"/>
          <w:szCs w:val="18"/>
        </w:rPr>
        <w:t xml:space="preserve">“what do I do </w:t>
      </w:r>
      <w:r>
        <w:rPr>
          <w:rFonts w:ascii="Arial" w:cs="Arial" w:eastAsia="Arial" w:hAnsi="Arial"/>
          <w:i/>
          <w:iCs/>
          <w:color w:val="231F1A"/>
          <w:sz w:val="18"/>
          <w:szCs w:val="18"/>
        </w:rPr>
        <w:t xml:space="preserve">this week</w:t>
      </w:r>
      <w:r>
        <w:rPr>
          <w:rFonts w:ascii="Arial" w:cs="Arial" w:eastAsia="Arial" w:hAnsi="Arial"/>
          <w:color w:val="231F1A"/>
          <w:sz w:val="18"/>
          <w:szCs w:val="18"/>
        </w:rPr>
        <w:t xml:space="preserve"> on a live deal?” The map is worthless until it's a to-do list.</w:t>
      </w:r>
    </w:p>
    <w:p>
      <w:pPr>
        <w:pStyle w:val="ListParagraph"/>
        <w:numPr>
          <w:ilvl w:val="0"/>
          <w:numId w:val="1"/>
        </w:numPr>
        <w:spacing w:after="80" w:line="264"/>
      </w:pPr>
      <w:r>
        <w:rPr>
          <w:rFonts w:ascii="Arial" w:cs="Arial" w:eastAsia="Arial" w:hAnsi="Arial"/>
          <w:b/>
          <w:bCs/>
          <w:color w:val="231F1A"/>
          <w:sz w:val="18"/>
          <w:szCs w:val="18"/>
        </w:rPr>
        <w:t xml:space="preserve">Use it to push back </w:t>
      </w:r>
      <w:r>
        <w:rPr>
          <w:rFonts w:ascii="Arial" w:cs="Arial" w:eastAsia="Arial" w:hAnsi="Arial"/>
          <w:color w:val="231F1A"/>
          <w:sz w:val="18"/>
          <w:szCs w:val="18"/>
        </w:rPr>
        <w:t xml:space="preserve">on “we just need a demo.” A demo with three blanks in the map is a demo you're giving for free.</w:t>
      </w:r>
    </w:p>
    <w:p>
      <w:pPr>
        <w:pStyle w:val="ListParagraph"/>
        <w:numPr>
          <w:ilvl w:val="0"/>
          <w:numId w:val="1"/>
        </w:numPr>
        <w:spacing w:after="80" w:line="264"/>
      </w:pPr>
      <w:r>
        <w:rPr>
          <w:rFonts w:ascii="Arial" w:cs="Arial" w:eastAsia="Arial" w:hAnsi="Arial"/>
          <w:b/>
          <w:bCs/>
          <w:color w:val="231F1A"/>
          <w:sz w:val="18"/>
          <w:szCs w:val="18"/>
        </w:rPr>
        <w:t xml:space="preserve">Feed intel back</w:t>
      </w:r>
      <w:r>
        <w:rPr>
          <w:rFonts w:ascii="Arial" w:cs="Arial" w:eastAsia="Arial" w:hAnsi="Arial"/>
          <w:color w:val="231F1A"/>
          <w:sz w:val="18"/>
          <w:szCs w:val="18"/>
        </w:rPr>
        <w:t xml:space="preserve">, competitive and product, so the whole team's map gets sharper.</w:t>
      </w:r>
    </w:p>
    <w:p>
      <w:pPr>
        <w:spacing w:after="100" w:before="100"/>
      </w:pPr>
      <w:r>
        <w:rPr>
          <w:rFonts w:ascii="Georgia" w:cs="Georgia" w:eastAsia="Georgia" w:hAnsi="Georgia"/>
          <w:i/>
          <w:iCs/>
          <w:color w:val="A8783A"/>
          <w:sz w:val="18"/>
          <w:szCs w:val="18"/>
        </w:rPr>
        <w:t xml:space="preserve">Spoiler: you want to be the partner, not the resource.</w:t>
      </w:r>
    </w:p>
    <w:p>
      <w:pPr>
        <w:spacing w:after="100" w:before="220"/>
        <w:jc w:val="left"/>
      </w:pPr>
      <w:r>
        <w:rPr>
          <w:rFonts w:ascii="Georgia" w:cs="Georgia" w:eastAsia="Georgia" w:hAnsi="Georgia"/>
          <w:b/>
          <w:bCs/>
          <w:color w:val="A8783A"/>
          <w:sz w:val="24"/>
          <w:szCs w:val="24"/>
        </w:rPr>
        <w:t xml:space="preserve">The Four Deal-Killers (name them when you see them)</w:t>
      </w: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gridCol w:w="100"/>
      </w:tblGrid>
      <w:tr>
        <w:tc>
          <w:tcPr>
            <w:tcW w:type="pct" w:w="50%"/>
            <w:tcBorders>
              <w:top w:val="single" w:color="C4B896" w:sz="6"/>
              <w:left w:val="single" w:color="C9A04C" w:sz="20"/>
              <w:bottom w:val="single" w:color="C4B896" w:sz="6"/>
              <w:right w:val="single" w:color="C4B896" w:sz="6"/>
            </w:tcBorders>
            <w:shd w:fill="FFFFFF" w:val="clear"/>
            <w:tcMar>
              <w:top w:type="dxa" w:w="100"/>
              <w:left w:type="dxa" w:w="140"/>
              <w:bottom w:type="dxa" w:w="100"/>
              <w:right w:type="dxa" w:w="140"/>
            </w:tcMar>
          </w:tcPr>
          <w:p>
            <w:pPr>
              <w:spacing w:after="30"/>
            </w:pPr>
            <w:r>
              <w:rPr>
                <w:rFonts w:ascii="Arial" w:cs="Arial" w:eastAsia="Arial" w:hAnsi="Arial"/>
                <w:b/>
                <w:bCs/>
                <w:color w:val="17140F"/>
                <w:sz w:val="17"/>
                <w:szCs w:val="17"/>
              </w:rPr>
              <w:t xml:space="preserve">The demo gate</w:t>
            </w:r>
          </w:p>
          <w:p>
            <w:r>
              <w:rPr>
                <w:rFonts w:ascii="Arial" w:cs="Arial" w:eastAsia="Arial" w:hAnsi="Arial"/>
                <w:color w:val="5B564C"/>
                <w:sz w:val="15"/>
                <w:szCs w:val="15"/>
              </w:rPr>
              <w:t xml:space="preserve">A demo on the calendar with three or more letters at 1 or blank. Don't give it until the gaps are named, owned, and dated.</w:t>
            </w:r>
          </w:p>
        </w:tc>
        <w:tc>
          <w:tcPr>
            <w:tcW w:type="pct" w:w="50%"/>
            <w:tcBorders>
              <w:top w:val="single" w:color="C4B896" w:sz="6"/>
              <w:left w:val="single" w:color="C9A04C" w:sz="20"/>
              <w:bottom w:val="single" w:color="C4B896" w:sz="6"/>
              <w:right w:val="single" w:color="C4B896" w:sz="6"/>
            </w:tcBorders>
            <w:shd w:fill="FFFFFF" w:val="clear"/>
            <w:tcMar>
              <w:top w:type="dxa" w:w="100"/>
              <w:left w:type="dxa" w:w="140"/>
              <w:bottom w:type="dxa" w:w="100"/>
              <w:right w:type="dxa" w:w="140"/>
            </w:tcMar>
          </w:tcPr>
          <w:p>
            <w:pPr>
              <w:spacing w:after="30"/>
            </w:pPr>
            <w:r>
              <w:rPr>
                <w:rFonts w:ascii="Arial" w:cs="Arial" w:eastAsia="Arial" w:hAnsi="Arial"/>
                <w:b/>
                <w:bCs/>
                <w:color w:val="17140F"/>
                <w:sz w:val="17"/>
                <w:szCs w:val="17"/>
              </w:rPr>
              <w:t xml:space="preserve">The stale sheet</w:t>
            </w:r>
          </w:p>
          <w:p>
            <w:r>
              <w:rPr>
                <w:rFonts w:ascii="Arial" w:cs="Arial" w:eastAsia="Arial" w:hAnsi="Arial"/>
                <w:color w:val="5B564C"/>
                <w:sz w:val="15"/>
                <w:szCs w:val="15"/>
              </w:rPr>
              <w:t xml:space="preserve">Scores that haven't moved since the deal last did. A stale map lies: re-score after every material touch.</w:t>
            </w:r>
          </w:p>
        </w:tc>
      </w:tr>
      <w:tr>
        <w:tc>
          <w:tcPr>
            <w:tcW w:type="pct" w:w="50%"/>
            <w:tcBorders>
              <w:top w:val="single" w:color="C4B896" w:sz="6"/>
              <w:left w:val="single" w:color="C9A04C" w:sz="20"/>
              <w:bottom w:val="single" w:color="C4B896" w:sz="6"/>
              <w:right w:val="single" w:color="C4B896" w:sz="6"/>
            </w:tcBorders>
            <w:shd w:fill="FFFFFF" w:val="clear"/>
            <w:tcMar>
              <w:top w:type="dxa" w:w="100"/>
              <w:left w:type="dxa" w:w="140"/>
              <w:bottom w:type="dxa" w:w="100"/>
              <w:right w:type="dxa" w:w="140"/>
            </w:tcMar>
          </w:tcPr>
          <w:p>
            <w:pPr>
              <w:spacing w:after="30"/>
            </w:pPr>
            <w:r>
              <w:rPr>
                <w:rFonts w:ascii="Arial" w:cs="Arial" w:eastAsia="Arial" w:hAnsi="Arial"/>
                <w:b/>
                <w:bCs/>
                <w:color w:val="17140F"/>
                <w:sz w:val="17"/>
                <w:szCs w:val="17"/>
              </w:rPr>
              <w:t xml:space="preserve">The enthusiasm-only champion</w:t>
            </w:r>
          </w:p>
          <w:p>
            <w:r>
              <w:rPr>
                <w:rFonts w:ascii="Arial" w:cs="Arial" w:eastAsia="Arial" w:hAnsi="Arial"/>
                <w:color w:val="5B564C"/>
                <w:sz w:val="15"/>
                <w:szCs w:val="15"/>
              </w:rPr>
              <w:t xml:space="preserve">Loves the product, sells nothing. A fan, not a champion: test for influence and personal stake.</w:t>
            </w:r>
          </w:p>
        </w:tc>
        <w:tc>
          <w:tcPr>
            <w:tcW w:type="pct" w:w="50%"/>
            <w:tcBorders>
              <w:top w:val="single" w:color="C4B896" w:sz="6"/>
              <w:left w:val="single" w:color="C9A04C" w:sz="20"/>
              <w:bottom w:val="single" w:color="C4B896" w:sz="6"/>
              <w:right w:val="single" w:color="C4B896" w:sz="6"/>
            </w:tcBorders>
            <w:shd w:fill="FFFFFF" w:val="clear"/>
            <w:tcMar>
              <w:top w:type="dxa" w:w="100"/>
              <w:left w:type="dxa" w:w="140"/>
              <w:bottom w:type="dxa" w:w="100"/>
              <w:right w:type="dxa" w:w="140"/>
            </w:tcMar>
          </w:tcPr>
          <w:p>
            <w:pPr>
              <w:spacing w:after="30"/>
            </w:pPr>
            <w:r>
              <w:rPr>
                <w:rFonts w:ascii="Arial" w:cs="Arial" w:eastAsia="Arial" w:hAnsi="Arial"/>
                <w:b/>
                <w:bCs/>
                <w:color w:val="17140F"/>
                <w:sz w:val="17"/>
                <w:szCs w:val="17"/>
              </w:rPr>
              <w:t xml:space="preserve">The single-threaded deal</w:t>
            </w:r>
          </w:p>
          <w:p>
            <w:r>
              <w:rPr>
                <w:rFonts w:ascii="Arial" w:cs="Arial" w:eastAsia="Arial" w:hAnsi="Arial"/>
                <w:color w:val="5B564C"/>
                <w:sz w:val="15"/>
                <w:szCs w:val="15"/>
              </w:rPr>
              <w:t xml:space="preserve">Every letter traces to one person. One re-org and the map goes blank: multi-thread this week.</w:t>
            </w:r>
          </w:p>
        </w:tc>
      </w:tr>
    </w:tbl>
    <w:p>
      <w:pPr>
        <w:spacing w:before="300"/>
        <w:jc w:val="center"/>
      </w:pPr>
      <w:r>
        <w:rPr>
          <w:rFonts w:ascii="Arial" w:cs="Arial" w:eastAsia="Arial" w:hAnsi="Arial"/>
          <w:b/>
          <w:bCs/>
          <w:color w:val="17140F"/>
          <w:sz w:val="16"/>
          <w:szCs w:val="16"/>
        </w:rPr>
        <w:t xml:space="preserve">THE SE FOUNDRY</w:t>
      </w:r>
      <w:r>
        <w:rPr>
          <w:rFonts w:ascii="Georgia" w:cs="Georgia" w:eastAsia="Georgia" w:hAnsi="Georgia"/>
          <w:i/>
          <w:iCs/>
          <w:color w:val="A8783A"/>
          <w:sz w:val="16"/>
          <w:szCs w:val="16"/>
        </w:rPr>
        <w:t xml:space="preserve">  ·  Build the function. Win the deal.  ·  </w:t>
      </w:r>
      <w:r>
        <w:rPr>
          <w:rFonts w:ascii="Arial" w:cs="Arial" w:eastAsia="Arial" w:hAnsi="Arial"/>
          <w:color w:val="5B564C"/>
          <w:sz w:val="15"/>
          <w:szCs w:val="15"/>
        </w:rPr>
        <w:t xml:space="preserve">thesefoundry.com · scott@thesefoundry.com · v2</w:t>
      </w:r>
    </w:p>
    <w:p>
      <w:r>
        <w:br w:type="page"/>
      </w: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gridCol w:w="100"/>
      </w:tblGrid>
      <w:tr>
        <w:tc>
          <w:tcPr>
            <w:tcW w:type="pct" w:w="50%"/>
            <w:tcBorders>
              <w:top w:val="none" w:color="FFFFFF" w:sz="0"/>
              <w:left w:val="none" w:color="FFFFFF" w:sz="0"/>
              <w:bottom w:val="none" w:color="FFFFFF" w:sz="0"/>
              <w:right w:val="none" w:color="FFFFFF" w:sz="0"/>
            </w:tcBorders>
            <w:shd w:fill="17140F" w:val="clear"/>
            <w:tcMar>
              <w:top w:type="dxa" w:w="100"/>
              <w:left w:type="dxa" w:w="200"/>
              <w:bottom w:type="dxa" w:w="100"/>
              <w:right w:type="dxa" w:w="100"/>
            </w:tcMar>
          </w:tcPr>
          <w:p>
            <w:r>
              <w:rPr>
                <w:rFonts w:ascii="Arial" w:cs="Arial" w:eastAsia="Arial" w:hAnsi="Arial"/>
                <w:b/>
                <w:bCs/>
                <w:color w:val="FAF6EE"/>
                <w:sz w:val="16"/>
                <w:szCs w:val="16"/>
              </w:rPr>
              <w:t xml:space="preserve">THE SE FOUNDRY</w:t>
            </w:r>
          </w:p>
        </w:tc>
        <w:tc>
          <w:tcPr>
            <w:tcW w:type="pct" w:w="50%"/>
            <w:tcBorders>
              <w:top w:val="none" w:color="FFFFFF" w:sz="0"/>
              <w:left w:val="none" w:color="FFFFFF" w:sz="0"/>
              <w:bottom w:val="none" w:color="FFFFFF" w:sz="0"/>
              <w:right w:val="none" w:color="FFFFFF" w:sz="0"/>
            </w:tcBorders>
            <w:shd w:fill="17140F" w:val="clear"/>
            <w:tcMar>
              <w:top w:type="dxa" w:w="100"/>
              <w:left w:type="dxa" w:w="100"/>
              <w:bottom w:type="dxa" w:w="100"/>
              <w:right w:type="dxa" w:w="200"/>
            </w:tcMar>
          </w:tcPr>
          <w:p>
            <w:pPr>
              <w:jc w:val="right"/>
            </w:pPr>
            <w:r>
              <w:rPr>
                <w:rFonts w:ascii="Arial" w:cs="Arial" w:eastAsia="Arial" w:hAnsi="Arial"/>
                <w:color w:val="B8AE9C"/>
                <w:sz w:val="16"/>
                <w:szCs w:val="16"/>
              </w:rPr>
              <w:t xml:space="preserve">MEDDPICC for SEs  ·  Field Guide</w:t>
            </w:r>
          </w:p>
        </w:tc>
      </w:tr>
    </w:tbl>
    <w:p>
      <w:pPr>
        <w:spacing w:after="100" w:before="260"/>
        <w:jc w:val="left"/>
      </w:pPr>
      <w:r>
        <w:rPr>
          <w:rFonts w:ascii="Georgia" w:cs="Georgia" w:eastAsia="Georgia" w:hAnsi="Georgia"/>
          <w:b/>
          <w:bCs/>
          <w:color w:val="A8783A"/>
          <w:sz w:val="26"/>
          <w:szCs w:val="26"/>
        </w:rPr>
        <w:t xml:space="preserve">Shared Exercise: Grade a Deal</w:t>
      </w:r>
    </w:p>
    <w:p>
      <w:pPr>
        <w:spacing w:after="140" w:line="276"/>
        <w:jc w:val="left"/>
      </w:pPr>
      <w:r>
        <w:rPr>
          <w:rFonts w:ascii="Arial" w:cs="Arial" w:eastAsia="Arial" w:hAnsi="Arial"/>
          <w:b w:val="false"/>
          <w:bCs w:val="false"/>
          <w:i w:val="false"/>
          <w:iCs w:val="false"/>
          <w:color w:val="231F1A"/>
          <w:sz w:val="19"/>
          <w:szCs w:val="19"/>
        </w:rPr>
        <w:t xml:space="preserve">This is the rep, and it's best run with the AE and SE together. Each of you grades the same live or sample deal across all eight letters, independently first, then compare. The gaps between your two sheets are where the real conversation is: who has better information, and what's the gap to close?</w:t>
      </w:r>
    </w:p>
    <w:p>
      <w:pPr>
        <w:pStyle w:val="ListParagraph"/>
        <w:numPr>
          <w:ilvl w:val="0"/>
          <w:numId w:val="1"/>
        </w:numPr>
        <w:spacing w:after="80" w:line="264"/>
      </w:pPr>
      <w:r>
        <w:rPr>
          <w:rFonts w:ascii="Arial" w:cs="Arial" w:eastAsia="Arial" w:hAnsi="Arial"/>
          <w:b/>
          <w:bCs/>
          <w:color w:val="231F1A"/>
          <w:sz w:val="18"/>
          <w:szCs w:val="18"/>
        </w:rPr>
        <w:t xml:space="preserve">Grade each letter 1–3</w:t>
      </w:r>
      <w:r>
        <w:rPr>
          <w:rFonts w:ascii="Arial" w:cs="Arial" w:eastAsia="Arial" w:hAnsi="Arial"/>
          <w:color w:val="231F1A"/>
          <w:sz w:val="18"/>
          <w:szCs w:val="18"/>
        </w:rPr>
        <w:t xml:space="preserve">, the same scale as page one.</w:t>
      </w:r>
    </w:p>
    <w:p>
      <w:pPr>
        <w:pStyle w:val="ListParagraph"/>
        <w:numPr>
          <w:ilvl w:val="0"/>
          <w:numId w:val="1"/>
        </w:numPr>
        <w:spacing w:after="80" w:line="264"/>
      </w:pPr>
      <w:r>
        <w:rPr>
          <w:rFonts w:ascii="Arial" w:cs="Arial" w:eastAsia="Arial" w:hAnsi="Arial"/>
          <w:b/>
          <w:bCs/>
          <w:color w:val="231F1A"/>
          <w:sz w:val="18"/>
          <w:szCs w:val="18"/>
        </w:rPr>
        <w:t xml:space="preserve">Do it solo first: </w:t>
      </w:r>
      <w:r>
        <w:rPr>
          <w:rFonts w:ascii="Arial" w:cs="Arial" w:eastAsia="Arial" w:hAnsi="Arial"/>
          <w:color w:val="231F1A"/>
          <w:sz w:val="18"/>
          <w:szCs w:val="18"/>
        </w:rPr>
        <w:t xml:space="preserve">no peeking at each other's sheet.</w:t>
      </w:r>
    </w:p>
    <w:p>
      <w:pPr>
        <w:pStyle w:val="ListParagraph"/>
        <w:numPr>
          <w:ilvl w:val="0"/>
          <w:numId w:val="1"/>
        </w:numPr>
        <w:spacing w:after="80" w:line="264"/>
      </w:pPr>
      <w:r>
        <w:rPr>
          <w:rFonts w:ascii="Arial" w:cs="Arial" w:eastAsia="Arial" w:hAnsi="Arial"/>
          <w:b/>
          <w:bCs/>
          <w:color w:val="231F1A"/>
          <w:sz w:val="18"/>
          <w:szCs w:val="18"/>
        </w:rPr>
        <w:t xml:space="preserve">Then reconcile out loud. </w:t>
      </w:r>
      <w:r>
        <w:rPr>
          <w:rFonts w:ascii="Arial" w:cs="Arial" w:eastAsia="Arial" w:hAnsi="Arial"/>
          <w:color w:val="231F1A"/>
          <w:sz w:val="18"/>
          <w:szCs w:val="18"/>
        </w:rPr>
        <w:t xml:space="preserve">Disagreement isn't a problem to smooth over; it's the most useful part of the exercise.</w:t>
      </w:r>
    </w:p>
    <w:p>
      <w:pPr>
        <w:spacing w:after="100" w:before="260"/>
        <w:jc w:val="left"/>
      </w:pPr>
      <w:r>
        <w:rPr>
          <w:rFonts w:ascii="Georgia" w:cs="Georgia" w:eastAsia="Georgia" w:hAnsi="Georgia"/>
          <w:b/>
          <w:bCs/>
          <w:color w:val="A8783A"/>
          <w:sz w:val="26"/>
          <w:szCs w:val="26"/>
        </w:rPr>
        <w:t xml:space="preserve">MEDDPICC Grading Worksheet</w:t>
      </w:r>
    </w:p>
    <w:p>
      <w:pPr>
        <w:spacing w:after="120"/>
      </w:pPr>
      <w:r>
        <w:rPr>
          <w:rFonts w:ascii="Georgia" w:cs="Georgia" w:eastAsia="Georgia" w:hAnsi="Georgia"/>
          <w:i/>
          <w:iCs/>
          <w:color w:val="5B564C"/>
          <w:sz w:val="17"/>
          <w:szCs w:val="17"/>
        </w:rPr>
        <w:t xml:space="preserve">Use this for the shared exercise above: grade solo, then reconcile with your partner out loud.</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979"/>
        <w:gridCol w:w="1277"/>
        <w:gridCol w:w="6384"/>
      </w:tblGrid>
      <w:tr>
        <w:tc>
          <w:tcPr>
            <w:tcW w:type="pct" w:w="28%"/>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LETTER</w:t>
            </w:r>
          </w:p>
        </w:tc>
        <w:tc>
          <w:tcPr>
            <w:tcW w:type="pct" w:w="12%"/>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GRADE</w:t>
            </w:r>
          </w:p>
        </w:tc>
        <w:tc>
          <w:tcPr>
            <w:tcW w:type="pct" w:w="60%"/>
            <w:tcBorders>
              <w:top w:val="single" w:color="C4B896" w:sz="6"/>
              <w:left w:val="single" w:color="C4B896" w:sz="6"/>
              <w:bottom w:val="single" w:color="C4B896" w:sz="6"/>
              <w:right w:val="single" w:color="C4B896" w:sz="6"/>
            </w:tcBorders>
            <w:shd w:fill="A8783A" w:val="clear"/>
            <w:tcMar>
              <w:top w:type="dxa" w:w="80"/>
              <w:left w:type="dxa" w:w="100"/>
              <w:bottom w:type="dxa" w:w="80"/>
              <w:right w:type="dxa" w:w="100"/>
            </w:tcMar>
          </w:tcPr>
          <w:p>
            <w:r>
              <w:rPr>
                <w:rFonts w:ascii="Arial" w:cs="Arial" w:eastAsia="Arial" w:hAnsi="Arial"/>
                <w:b/>
                <w:bCs/>
                <w:color w:val="FFFFFF"/>
                <w:sz w:val="15"/>
                <w:szCs w:val="15"/>
              </w:rPr>
              <w:t xml:space="preserve">EVIDENCE / GAP TO CLOSE</w:t>
            </w: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M — Metrics</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E — Economic Buyer</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D — Decision Criteria</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D — Decision Process</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P — Paper Process</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I — Identify Pain</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FFFFF" w:val="clear"/>
            <w:tcMar>
              <w:top w:type="dxa" w:w="90"/>
              <w:left w:type="dxa" w:w="100"/>
              <w:bottom w:type="dxa" w:w="90"/>
              <w:right w:type="dxa" w:w="100"/>
            </w:tcMar>
          </w:tcPr>
          <w:p>
            <w:r>
              <w:rPr>
                <w:rFonts w:ascii="Arial" w:cs="Arial" w:eastAsia="Arial" w:hAnsi="Arial"/>
                <w:b/>
                <w:bCs/>
                <w:color w:val="17140F"/>
                <w:sz w:val="18"/>
                <w:szCs w:val="18"/>
              </w:rPr>
              <w:t xml:space="preserve">C — Champion</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tcW w:type="pct" w:w="28%"/>
            <w:tcBorders>
              <w:top w:val="single" w:color="C4B896" w:sz="6"/>
              <w:left w:val="single" w:color="C4B896" w:sz="6"/>
              <w:bottom w:val="single" w:color="C4B896" w:sz="6"/>
              <w:right w:val="single" w:color="C4B896" w:sz="6"/>
            </w:tcBorders>
            <w:shd w:fill="F6F0E3" w:val="clear"/>
            <w:tcMar>
              <w:top w:type="dxa" w:w="90"/>
              <w:left w:type="dxa" w:w="100"/>
              <w:bottom w:type="dxa" w:w="90"/>
              <w:right w:type="dxa" w:w="100"/>
            </w:tcMar>
          </w:tcPr>
          <w:p>
            <w:r>
              <w:rPr>
                <w:rFonts w:ascii="Arial" w:cs="Arial" w:eastAsia="Arial" w:hAnsi="Arial"/>
                <w:b/>
                <w:bCs/>
                <w:color w:val="17140F"/>
                <w:sz w:val="18"/>
                <w:szCs w:val="18"/>
              </w:rPr>
              <w:t xml:space="preserve">C — Competition</w:t>
            </w:r>
          </w:p>
        </w:tc>
        <w:tc>
          <w:tcPr>
            <w:tcW w:type="pct" w:w="12%"/>
            <w:tcBorders>
              <w:top w:val="single" w:color="C4B896" w:sz="6"/>
              <w:left w:val="single" w:color="C4B896" w:sz="6"/>
              <w:bottom w:val="single" w:color="C4B896" w:sz="6"/>
              <w:right w:val="single" w:color="C4B896" w:sz="6"/>
            </w:tcBorders>
            <w:shd w:fill="FFFFFF" w:val="clear"/>
          </w:tcPr>
          <w:p/>
        </w:tc>
        <w:tc>
          <w:tcPr>
            <w:tcW w:type="pct" w:w="60%"/>
            <w:tcBorders>
              <w:top w:val="single" w:color="C4B896" w:sz="6"/>
              <w:left w:val="single" w:color="C4B896" w:sz="6"/>
              <w:bottom w:val="single" w:color="C4B896" w:sz="6"/>
              <w:right w:val="single" w:color="C4B896" w:sz="6"/>
            </w:tcBorders>
            <w:shd w:fill="FFFFFF" w:val="clear"/>
          </w:tcPr>
          <w:p/>
        </w:tc>
      </w:tr>
      <w:tr>
        <w:tc>
          <w:tcPr>
            <w:gridSpan w:val="2"/>
            <w:tcBorders>
              <w:top w:val="single" w:color="C4B896" w:sz="6"/>
              <w:left w:val="single" w:color="C4B896" w:sz="6"/>
              <w:bottom w:val="single" w:color="C4B896" w:sz="6"/>
              <w:right w:val="single" w:color="C4B896" w:sz="6"/>
            </w:tcBorders>
            <w:shd w:fill="F1E8D4" w:val="clear"/>
            <w:tcMar>
              <w:top w:type="dxa" w:w="90"/>
              <w:left w:type="dxa" w:w="100"/>
              <w:bottom w:type="dxa" w:w="90"/>
              <w:right w:type="dxa" w:w="100"/>
            </w:tcMar>
          </w:tcPr>
          <w:p>
            <w:r>
              <w:rPr>
                <w:rFonts w:ascii="Arial" w:cs="Arial" w:eastAsia="Arial" w:hAnsi="Arial"/>
                <w:b/>
                <w:bCs/>
                <w:color w:val="17140F"/>
                <w:sz w:val="18"/>
                <w:szCs w:val="18"/>
              </w:rPr>
              <w:t xml:space="preserve">Overall Read</w:t>
            </w:r>
          </w:p>
        </w:tc>
        <w:tc>
          <w:tcPr>
            <w:tcBorders>
              <w:top w:val="single" w:color="C4B896" w:sz="6"/>
              <w:left w:val="single" w:color="C4B896" w:sz="6"/>
              <w:bottom w:val="single" w:color="C4B896" w:sz="6"/>
              <w:right w:val="single" w:color="C4B896" w:sz="6"/>
            </w:tcBorders>
            <w:shd w:fill="FFFFFF" w:val="clear"/>
          </w:tcP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tblGrid>
      <w:tr>
        <w:tc>
          <w:tcPr>
            <w:tcBorders>
              <w:top w:val="none" w:color="FFFFFF" w:sz="0"/>
              <w:left w:val="none" w:color="FFFFFF" w:sz="0"/>
              <w:bottom w:val="none" w:color="FFFFFF" w:sz="0"/>
              <w:right w:val="none" w:color="FFFFFF" w:sz="0"/>
            </w:tcBorders>
            <w:shd w:fill="17140F" w:val="clear"/>
            <w:tcMar>
              <w:top w:type="dxa" w:w="160"/>
              <w:left w:type="dxa" w:w="220"/>
              <w:bottom w:type="dxa" w:w="160"/>
              <w:right w:type="dxa" w:w="220"/>
            </w:tcMar>
          </w:tcPr>
          <w:p>
            <w:pPr>
              <w:spacing w:after="60"/>
            </w:pPr>
            <w:r>
              <w:rPr>
                <w:rFonts w:ascii="Georgia" w:cs="Georgia" w:eastAsia="Georgia" w:hAnsi="Georgia"/>
                <w:b/>
                <w:bCs/>
                <w:color w:val="EDDCA0"/>
                <w:sz w:val="22"/>
                <w:szCs w:val="22"/>
              </w:rPr>
              <w:t xml:space="preserve">Let the coach run the reconcile</w:t>
            </w:r>
          </w:p>
          <w:p>
            <w:pPr>
              <w:spacing w:line="276"/>
            </w:pPr>
            <w:r>
              <w:rPr>
                <w:rFonts w:ascii="Arial" w:cs="Arial" w:eastAsia="Arial" w:hAnsi="Arial"/>
                <w:color w:val="E8E1D2"/>
                <w:sz w:val="17"/>
                <w:szCs w:val="17"/>
              </w:rPr>
              <w:t xml:space="preserve">Grade solo, then hand both sheets to The SE Foundry's </w:t>
            </w:r>
            <w:r>
              <w:rPr>
                <w:rFonts w:ascii="Arial" w:cs="Arial" w:eastAsia="Arial" w:hAnsi="Arial"/>
                <w:i/>
                <w:iCs/>
                <w:color w:val="C9A04C"/>
                <w:sz w:val="17"/>
                <w:szCs w:val="17"/>
              </w:rPr>
              <w:t xml:space="preserve">MEDDPICC Deal Coach</w:t>
            </w:r>
            <w:r>
              <w:rPr>
                <w:rFonts w:ascii="Arial" w:cs="Arial" w:eastAsia="Arial" w:hAnsi="Arial"/>
                <w:color w:val="E8E1D2"/>
                <w:sz w:val="17"/>
                <w:szCs w:val="17"/>
              </w:rPr>
              <w:t xml:space="preserve">, an AI coaching skill for Claude. It scores only what the evidence supports, builds the review around your disagreement, and turns the map into this week's actions. Ask us for it: </w:t>
            </w:r>
            <w:r>
              <w:rPr>
                <w:rFonts w:ascii="Arial" w:cs="Arial" w:eastAsia="Arial" w:hAnsi="Arial"/>
                <w:i/>
                <w:iCs/>
                <w:color w:val="C9A04C"/>
                <w:sz w:val="17"/>
                <w:szCs w:val="17"/>
              </w:rPr>
              <w:t xml:space="preserve">thesefoundry.com</w:t>
            </w:r>
            <w:r>
              <w:rPr>
                <w:rFonts w:ascii="Arial" w:cs="Arial" w:eastAsia="Arial" w:hAnsi="Arial"/>
                <w:color w:val="E8E1D2"/>
                <w:sz w:val="17"/>
                <w:szCs w:val="17"/>
              </w:rPr>
              <w:t xml:space="preserve">.</w:t>
            </w:r>
          </w:p>
        </w:tc>
      </w:tr>
    </w:tbl>
    <w:p>
      <w:pPr>
        <w:spacing w:after="100" w:before="260"/>
        <w:jc w:val="left"/>
      </w:pPr>
      <w:r>
        <w:rPr>
          <w:rFonts w:ascii="Georgia" w:cs="Georgia" w:eastAsia="Georgia" w:hAnsi="Georgia"/>
          <w:b/>
          <w:bCs/>
          <w:color w:val="A8783A"/>
          <w:sz w:val="23"/>
          <w:szCs w:val="23"/>
        </w:rPr>
        <w:t xml:space="preserve">Where This Connects</w:t>
      </w:r>
    </w:p>
    <w:p>
      <w:pPr>
        <w:pStyle w:val="ListParagraph"/>
        <w:numPr>
          <w:ilvl w:val="0"/>
          <w:numId w:val="1"/>
        </w:numPr>
        <w:spacing w:after="80" w:line="264"/>
      </w:pPr>
      <w:r>
        <w:rPr>
          <w:rFonts w:ascii="Arial" w:cs="Arial" w:eastAsia="Arial" w:hAnsi="Arial"/>
          <w:b/>
          <w:bCs/>
          <w:color w:val="231F1A"/>
          <w:sz w:val="18"/>
          <w:szCs w:val="18"/>
        </w:rPr>
        <w:t xml:space="preserve">Qualifying Workshop: </w:t>
      </w:r>
      <w:r>
        <w:rPr>
          <w:rFonts w:ascii="Arial" w:cs="Arial" w:eastAsia="Arial" w:hAnsi="Arial"/>
          <w:color w:val="231F1A"/>
          <w:sz w:val="18"/>
          <w:szCs w:val="18"/>
        </w:rPr>
        <w:t xml:space="preserve">MEDDPICC as the shared qualification map.</w:t>
      </w:r>
    </w:p>
    <w:p>
      <w:pPr>
        <w:pStyle w:val="ListParagraph"/>
        <w:numPr>
          <w:ilvl w:val="0"/>
          <w:numId w:val="1"/>
        </w:numPr>
        <w:spacing w:after="80" w:line="264"/>
      </w:pPr>
      <w:r>
        <w:rPr>
          <w:rFonts w:ascii="Arial" w:cs="Arial" w:eastAsia="Arial" w:hAnsi="Arial"/>
          <w:b/>
          <w:bCs/>
          <w:color w:val="231F1A"/>
          <w:sz w:val="18"/>
          <w:szCs w:val="18"/>
        </w:rPr>
        <w:t xml:space="preserve">Forecasting Workshop: </w:t>
      </w:r>
      <w:r>
        <w:rPr>
          <w:rFonts w:ascii="Arial" w:cs="Arial" w:eastAsia="Arial" w:hAnsi="Arial"/>
          <w:color w:val="231F1A"/>
          <w:sz w:val="18"/>
          <w:szCs w:val="18"/>
        </w:rPr>
        <w:t xml:space="preserve">Champion, Decision Process, and Paper Process drive the forecast; bring graded deals there to place in the forecast.</w:t>
      </w:r>
    </w:p>
    <w:p>
      <w:pPr>
        <w:spacing w:after="100" w:before="200"/>
        <w:jc w:val="left"/>
      </w:pPr>
      <w:r>
        <w:rPr>
          <w:rFonts w:ascii="Georgia" w:cs="Georgia" w:eastAsia="Georgia" w:hAnsi="Georgia"/>
          <w:b/>
          <w:bCs/>
          <w:color w:val="A8783A"/>
          <w:sz w:val="23"/>
          <w:szCs w:val="23"/>
        </w:rPr>
        <w:t xml:space="preserve">Source Material</w:t>
      </w:r>
    </w:p>
    <w:p>
      <w:pPr>
        <w:pStyle w:val="ListParagraph"/>
        <w:numPr>
          <w:ilvl w:val="0"/>
          <w:numId w:val="1"/>
        </w:numPr>
        <w:spacing w:after="80" w:line="264"/>
      </w:pPr>
      <w:r>
        <w:rPr>
          <w:rFonts w:ascii="Arial" w:cs="Arial" w:eastAsia="Arial" w:hAnsi="Arial"/>
          <w:color w:val="231F1A"/>
          <w:sz w:val="18"/>
          <w:szCs w:val="18"/>
        </w:rPr>
        <w:t xml:space="preserve">“MEDDPICC for SEs and SAs”: the article this guide adapts.</w:t>
      </w:r>
    </w:p>
    <w:p>
      <w:pPr>
        <w:pStyle w:val="ListParagraph"/>
        <w:numPr>
          <w:ilvl w:val="0"/>
          <w:numId w:val="1"/>
        </w:numPr>
        <w:spacing w:after="80" w:line="264"/>
      </w:pPr>
      <w:r>
        <w:rPr>
          <w:rFonts w:ascii="Arial" w:cs="Arial" w:eastAsia="Arial" w:hAnsi="Arial"/>
          <w:color w:val="231F1A"/>
          <w:sz w:val="18"/>
          <w:szCs w:val="18"/>
        </w:rPr>
        <w:t xml:space="preserve">Official source: meddpicc.net</w:t>
      </w:r>
    </w:p>
    <w:p>
      <w:pPr>
        <w:spacing w:before="300"/>
        <w:jc w:val="center"/>
      </w:pPr>
      <w:r>
        <w:rPr>
          <w:rFonts w:ascii="Arial" w:cs="Arial" w:eastAsia="Arial" w:hAnsi="Arial"/>
          <w:b/>
          <w:bCs/>
          <w:color w:val="17140F"/>
          <w:sz w:val="16"/>
          <w:szCs w:val="16"/>
        </w:rPr>
        <w:t xml:space="preserve">THE SE FOUNDRY</w:t>
      </w:r>
      <w:r>
        <w:rPr>
          <w:rFonts w:ascii="Georgia" w:cs="Georgia" w:eastAsia="Georgia" w:hAnsi="Georgia"/>
          <w:i/>
          <w:iCs/>
          <w:color w:val="A8783A"/>
          <w:sz w:val="16"/>
          <w:szCs w:val="16"/>
        </w:rPr>
        <w:t xml:space="preserve">  ·  Build the function. Win the deal.  ·  </w:t>
      </w:r>
      <w:r>
        <w:rPr>
          <w:rFonts w:ascii="Arial" w:cs="Arial" w:eastAsia="Arial" w:hAnsi="Arial"/>
          <w:color w:val="5B564C"/>
          <w:sz w:val="15"/>
          <w:szCs w:val="15"/>
        </w:rPr>
        <w:t xml:space="preserve">thesefoundry.com · scott@thesefoundry.com · v2</w:t>
      </w:r>
    </w:p>
    <w:sectPr>
      <w:pgSz w:w="11906" w:h="16838" w:orient="portrait"/>
      <w:pgMar w:top="600" w:right="800" w:bottom="6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31F1A"/>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248263d7a7b64c5a272eeeb906f3fb8680951c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2026-07-17T01:00:50.229Z</dcterms:created>
  <dcterms:modified xsi:type="dcterms:W3CDTF">2026-07-17T01:00:50.229Z</dcterms:modified>
</cp:coreProperties>
</file>

<file path=docProps/custom.xml><?xml version="1.0" encoding="utf-8"?>
<Properties xmlns="http://schemas.openxmlformats.org/officeDocument/2006/custom-properties" xmlns:vt="http://schemas.openxmlformats.org/officeDocument/2006/docPropsVTypes"/>
</file>